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kern w:val="0"/>
          <w:sz w:val="36"/>
          <w:szCs w:val="36"/>
        </w:rPr>
        <w:t>附件1</w:t>
      </w:r>
    </w:p>
    <w:p>
      <w:pPr>
        <w:spacing w:line="680" w:lineRule="exact"/>
        <w:jc w:val="center"/>
        <w:rPr>
          <w:rFonts w:ascii="方正小标宋_GBK" w:hAnsi="黑体" w:eastAsia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auto"/>
          <w:kern w:val="0"/>
          <w:sz w:val="44"/>
          <w:szCs w:val="44"/>
        </w:rPr>
        <w:t>2020年发现广州“独角兽”创新企业榜单</w:t>
      </w:r>
    </w:p>
    <w:p>
      <w:pPr>
        <w:spacing w:line="680" w:lineRule="exact"/>
        <w:jc w:val="center"/>
        <w:rPr>
          <w:rFonts w:ascii="方正小标宋_GBK" w:hAnsi="黑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auto"/>
          <w:sz w:val="44"/>
          <w:szCs w:val="44"/>
        </w:rPr>
        <w:t>征集表</w:t>
      </w:r>
    </w:p>
    <w:p>
      <w:pPr>
        <w:jc w:val="center"/>
        <w:rPr>
          <w:rFonts w:ascii="Times New Roman" w:hAnsi="Times New Roman" w:eastAsia="方正小标宋_GBK"/>
          <w:color w:val="auto"/>
          <w:sz w:val="30"/>
          <w:szCs w:val="30"/>
        </w:rPr>
      </w:pP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388"/>
        <w:gridCol w:w="148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申报单位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申报类别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独角兽创新企业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未来独角兽创新企业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□高精尖企业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产业领域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信息技术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人工智能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生物医药</w:t>
            </w:r>
          </w:p>
          <w:p>
            <w:pPr>
              <w:snapToGrid w:val="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新能源与节能环保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新材料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先进制造</w:t>
            </w:r>
          </w:p>
          <w:p>
            <w:pPr>
              <w:snapToGrid w:val="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大数据与云计算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电子商务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物联网</w:t>
            </w:r>
          </w:p>
          <w:p>
            <w:pPr>
              <w:snapToGrid w:val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文娱旅游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物流供应链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越秀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海珠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荔湾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天河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白云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黄埔（开发区）</w:t>
            </w:r>
          </w:p>
          <w:p>
            <w:pPr>
              <w:snapToGrid w:val="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花都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番禺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南沙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从化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联系人姓名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pacing w:val="26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手    机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    话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pacing w:val="26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电子邮件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ind w:firstLine="562" w:firstLineChars="20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申请日期：      年     月    日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广州市科技创新企业协会制</w:t>
      </w:r>
    </w:p>
    <w:p>
      <w:pPr>
        <w:widowControl/>
        <w:jc w:val="left"/>
        <w:rPr>
          <w:rFonts w:ascii="Times New Roman" w:hAnsi="Times New Roman"/>
          <w:b/>
          <w:color w:val="auto"/>
          <w:sz w:val="30"/>
          <w:szCs w:val="30"/>
        </w:rPr>
      </w:pPr>
    </w:p>
    <w:p>
      <w:pPr>
        <w:spacing w:line="680" w:lineRule="exact"/>
        <w:jc w:val="center"/>
        <w:rPr>
          <w:rFonts w:ascii="方正小标宋_GBK" w:hAnsi="黑体" w:eastAsia="方正小标宋_GBK"/>
          <w:bCs/>
          <w:color w:val="auto"/>
          <w:kern w:val="0"/>
          <w:sz w:val="44"/>
          <w:szCs w:val="44"/>
        </w:rPr>
      </w:pPr>
      <w:r>
        <w:rPr>
          <w:rFonts w:ascii="方正小标宋_GBK" w:hAnsi="黑体" w:eastAsia="方正小标宋_GBK"/>
          <w:bCs/>
          <w:color w:val="auto"/>
          <w:kern w:val="0"/>
          <w:sz w:val="44"/>
          <w:szCs w:val="44"/>
        </w:rPr>
        <w:t>填写说明</w:t>
      </w:r>
    </w:p>
    <w:p>
      <w:pPr>
        <w:widowControl/>
        <w:jc w:val="left"/>
        <w:rPr>
          <w:rFonts w:ascii="Times New Roman" w:hAnsi="Times New Roman"/>
          <w:b/>
          <w:color w:val="auto"/>
          <w:kern w:val="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填报数据以2019年度数据为准（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特殊注明除外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美元汇率以2019年12月31日中国银行数据为准。</w:t>
      </w: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未在申报书上体现的内容，可以附件形式提交。</w:t>
      </w:r>
    </w:p>
    <w:p>
      <w:pPr>
        <w:pStyle w:val="12"/>
        <w:numPr>
          <w:ilvl w:val="0"/>
          <w:numId w:val="1"/>
        </w:numPr>
        <w:spacing w:line="360" w:lineRule="auto"/>
        <w:ind w:left="517" w:hanging="516" w:hangingChars="170"/>
        <w:jc w:val="left"/>
        <w:rPr>
          <w:rFonts w:ascii="仿宋_GB2312" w:hAnsi="Times New Roman" w:eastAsia="仿宋_GB2312"/>
          <w:color w:val="auto"/>
          <w:spacing w:val="-8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pacing w:val="-8"/>
          <w:kern w:val="0"/>
          <w:sz w:val="32"/>
          <w:szCs w:val="32"/>
        </w:rPr>
        <w:t>往期“独角兽”榜单企业只需提供征集表、估值证明材料及财务三表。</w:t>
      </w:r>
    </w:p>
    <w:p>
      <w:pPr>
        <w:pStyle w:val="12"/>
        <w:numPr>
          <w:ilvl w:val="0"/>
          <w:numId w:val="1"/>
        </w:numPr>
        <w:spacing w:line="360" w:lineRule="auto"/>
        <w:ind w:left="517" w:hanging="516" w:hangingChars="170"/>
        <w:jc w:val="left"/>
        <w:rPr>
          <w:rFonts w:ascii="仿宋_GB2312" w:hAnsi="Times New Roman" w:eastAsia="仿宋_GB2312"/>
          <w:color w:val="auto"/>
          <w:spacing w:val="-8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pacing w:val="-8"/>
          <w:kern w:val="0"/>
          <w:sz w:val="32"/>
          <w:szCs w:val="32"/>
          <w:lang w:val="en-US" w:eastAsia="zh-CN"/>
        </w:rPr>
        <w:t>申报“独角兽”或“未来独角兽”创新企业可同时申报“高精尖”企业，“独角兽”与“未来独角兽”创新企业不可同时申报。</w:t>
      </w:r>
    </w:p>
    <w:p>
      <w:pPr>
        <w:pStyle w:val="12"/>
        <w:widowControl/>
        <w:numPr>
          <w:ilvl w:val="0"/>
          <w:numId w:val="1"/>
        </w:numPr>
        <w:spacing w:line="360" w:lineRule="auto"/>
        <w:ind w:left="546" w:hanging="546" w:hangingChars="170"/>
        <w:jc w:val="left"/>
        <w:rPr>
          <w:rFonts w:ascii="仿宋_GB2312" w:hAnsi="Times New Roman" w:eastAsia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color w:val="auto"/>
          <w:kern w:val="0"/>
          <w:sz w:val="32"/>
          <w:szCs w:val="32"/>
        </w:rPr>
        <w:t>装订要求：申报书与附件材料（包括审计报告）合订成册，附件材料需编写页码和目录。</w:t>
      </w:r>
    </w:p>
    <w:p>
      <w:pPr>
        <w:widowControl/>
        <w:jc w:val="left"/>
        <w:rPr>
          <w:rFonts w:ascii="仿宋_GB2312" w:hAnsi="Times New Roman" w:eastAsia="仿宋_GB2312"/>
          <w:b/>
          <w:color w:val="auto"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color w:val="auto"/>
          <w:kern w:val="0"/>
          <w:sz w:val="32"/>
          <w:szCs w:val="32"/>
        </w:rPr>
        <w:br w:type="page"/>
      </w:r>
    </w:p>
    <w:p>
      <w:pPr>
        <w:rPr>
          <w:rFonts w:ascii="仿宋_GB2312" w:hAnsi="Times New Roman" w:eastAsia="仿宋_GB2312"/>
          <w:b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一、企业基本信息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92"/>
        <w:gridCol w:w="1984"/>
        <w:gridCol w:w="1276"/>
        <w:gridCol w:w="1276"/>
        <w:gridCol w:w="226"/>
        <w:gridCol w:w="113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国有企业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民营企业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中外合资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股份制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有限责任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其它（请注明）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是否高企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是（入选年份：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 xml:space="preserve">）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企业职工人数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研发人数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1.1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曾入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选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榜单（最多不超过5项，按重要性填写）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榜单名称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入选时间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eastAsia="仿宋_GB2312" w:hAnsi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二、</w:t>
      </w:r>
      <w:r>
        <w:rPr>
          <w:rFonts w:ascii="仿宋_GB2312" w:eastAsia="仿宋_GB2312" w:hAnsiTheme="minorEastAsia"/>
          <w:b/>
          <w:color w:val="auto"/>
          <w:sz w:val="32"/>
          <w:szCs w:val="32"/>
        </w:rPr>
        <w:t>企业财务情况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  <w:lang w:val="en-US" w:eastAsia="zh-CN"/>
        </w:rPr>
        <w:t>(单位：万元)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7"/>
        <w:gridCol w:w="1591"/>
        <w:gridCol w:w="251"/>
        <w:gridCol w:w="509"/>
        <w:gridCol w:w="1022"/>
        <w:gridCol w:w="29"/>
        <w:gridCol w:w="567"/>
        <w:gridCol w:w="1174"/>
        <w:gridCol w:w="328"/>
        <w:gridCol w:w="200"/>
        <w:gridCol w:w="109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资产总值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市场估值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  <w:bookmarkStart w:id="0" w:name="OLE_LINK2"/>
            <w:bookmarkStart w:id="1" w:name="OLE_LINK1"/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营业务</w:t>
            </w:r>
            <w:bookmarkEnd w:id="0"/>
            <w:bookmarkEnd w:id="1"/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收入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营业务收入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营业务收入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研发投入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研发投入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研发投入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2.1 企业融资情况（最多不超过5项，按重要性填写）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融资金额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领投机构（或个人）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跟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投机构（或个人）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2.2 主要股东构成（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此表可复制，按重要性填写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股东类型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占股比例（%）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其它说明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</w:tbl>
    <w:p>
      <w:pPr>
        <w:rPr>
          <w:rFonts w:ascii="仿宋_GB2312" w:eastAsia="仿宋_GB2312" w:hAnsiTheme="minorEastAsia"/>
          <w:b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三、</w:t>
      </w:r>
      <w:r>
        <w:rPr>
          <w:rFonts w:ascii="仿宋_GB2312" w:eastAsia="仿宋_GB2312" w:hAnsiTheme="minorEastAsia"/>
          <w:b/>
          <w:color w:val="auto"/>
          <w:sz w:val="32"/>
          <w:szCs w:val="32"/>
        </w:rPr>
        <w:t>企业</w:t>
      </w: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知识产权情况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09"/>
        <w:gridCol w:w="945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拥有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知识产权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发明专利数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软件著作权数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参与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国际、国家及行业标准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制定总数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制定国际、国家标准数量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制定行业标准数量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知识产权总体情况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83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</w:rPr>
            </w:pPr>
          </w:p>
        </w:tc>
      </w:tr>
    </w:tbl>
    <w:p>
      <w:pPr>
        <w:rPr>
          <w:rFonts w:ascii="仿宋_GB2312" w:eastAsia="仿宋_GB2312" w:hAnsiTheme="minorEastAsia"/>
          <w:b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auto"/>
          <w:sz w:val="32"/>
          <w:szCs w:val="32"/>
        </w:rPr>
        <w:t>四、</w:t>
      </w:r>
      <w:r>
        <w:rPr>
          <w:rFonts w:ascii="仿宋_GB2312" w:eastAsia="仿宋_GB2312" w:hAnsiTheme="minorEastAsia"/>
          <w:b/>
          <w:color w:val="auto"/>
          <w:sz w:val="32"/>
          <w:szCs w:val="32"/>
        </w:rPr>
        <w:t>企业主要情况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4.1 企业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从事业务、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带头人及核心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团队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基本情况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不少于500字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4.2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企业核心技术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(或管理模式)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、主导产品及行业地位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不少于500字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3 企业“高精尖”特征（申报“高精尖”企业必填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不少于500字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</w:rPr>
              <w:t>（1）核心技术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lang w:val="en-US" w:eastAsia="zh-CN"/>
              </w:rPr>
              <w:t>领先情况</w:t>
            </w:r>
          </w:p>
          <w:p>
            <w:pPr>
              <w:rPr>
                <w:rFonts w:hint="default" w:asciiTheme="minorEastAsia" w:hAnsiTheme="minorEastAsia" w:eastAsiaTheme="minorEastAsia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</w:rPr>
              <w:t>（2）代表产品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lang w:val="en-US" w:eastAsia="zh-CN"/>
              </w:rPr>
              <w:t>细分市场情况</w:t>
            </w:r>
          </w:p>
          <w:p>
            <w:pPr>
              <w:rPr>
                <w:rFonts w:asciiTheme="minorEastAsia" w:hAnsiTheme="minorEastAsia" w:eastAsia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</w:rPr>
              <w:t>（3）行业领先及行业影响力情况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</w:rPr>
              <w:t>（4）成果评价情况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申报企业</w:t>
            </w:r>
          </w:p>
          <w:p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440"/>
              <w:jc w:val="righ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440"/>
              <w:jc w:val="righ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负责人：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企业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公章）</w:t>
            </w:r>
          </w:p>
          <w:p>
            <w:pPr>
              <w:wordWrap w:val="0"/>
              <w:spacing w:line="360" w:lineRule="exact"/>
              <w:ind w:right="960" w:firstLine="4800" w:firstLineChars="200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kern w:val="0"/>
          <w:sz w:val="30"/>
          <w:szCs w:val="30"/>
        </w:rPr>
        <w:br w:type="page"/>
      </w:r>
    </w:p>
    <w:p>
      <w:pPr>
        <w:widowControl/>
        <w:jc w:val="center"/>
        <w:textAlignment w:val="center"/>
        <w:rPr>
          <w:rFonts w:ascii="方正小标宋简体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kern w:val="0"/>
          <w:sz w:val="44"/>
          <w:szCs w:val="44"/>
        </w:rPr>
        <w:t>附件目录</w:t>
      </w:r>
    </w:p>
    <w:p>
      <w:pPr>
        <w:widowControl/>
        <w:jc w:val="center"/>
        <w:textAlignment w:val="center"/>
        <w:rPr>
          <w:rFonts w:ascii="Times New Roman" w:hAnsi="Times New Roman"/>
          <w:b/>
          <w:color w:val="auto"/>
          <w:kern w:val="0"/>
          <w:sz w:val="32"/>
          <w:szCs w:val="32"/>
        </w:rPr>
      </w:pP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1．申报单位的法人营业执照或组织机构代码证书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（必备）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近三年年度审计报告（必备）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3．申报单位估值报告或其它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估值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证明材料（必备）；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．申报单位知识产权授权证明材料；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</w:rPr>
        <w:t>．申报单位获资格认定证明材料；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6．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申报单位所获荣誉证明材料；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7．申报单位获得各项行业证书证明材料；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8．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申报单位标准制定及新产品/装备/工艺/材料等；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产品或成果查新报告；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10．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申报单位在国内外行业领域排名情况证明材料；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11．申报单位研发机构建设证明材料；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12．申报单位承担研发项目证明材料；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13．</w:t>
      </w:r>
      <w:r>
        <w:rPr>
          <w:rFonts w:ascii="Times New Roman" w:hAnsi="Times New Roman" w:eastAsia="仿宋_GB2312"/>
          <w:color w:val="auto"/>
          <w:sz w:val="32"/>
          <w:szCs w:val="32"/>
        </w:rPr>
        <w:t>其他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与申报书</w:t>
      </w:r>
      <w:r>
        <w:rPr>
          <w:rFonts w:ascii="Times New Roman" w:hAnsi="Times New Roman" w:eastAsia="仿宋_GB2312"/>
          <w:color w:val="auto"/>
          <w:sz w:val="32"/>
          <w:szCs w:val="32"/>
        </w:rPr>
        <w:t>对应的佐证材料。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color w:val="auto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注：以上材料提供复印件即可，此目录仅供参考，打印时请根据实际情况替换此页。</w:t>
      </w:r>
    </w:p>
    <w:sectPr>
      <w:footerReference r:id="rId3" w:type="default"/>
      <w:footerReference r:id="rId4" w:type="even"/>
      <w:pgSz w:w="11906" w:h="16838"/>
      <w:pgMar w:top="1843" w:right="1474" w:bottom="184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4343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B01"/>
    <w:multiLevelType w:val="multilevel"/>
    <w:tmpl w:val="5A886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8"/>
    <w:rsid w:val="00002E98"/>
    <w:rsid w:val="000146FF"/>
    <w:rsid w:val="00023CC7"/>
    <w:rsid w:val="00027778"/>
    <w:rsid w:val="00064D8F"/>
    <w:rsid w:val="00065030"/>
    <w:rsid w:val="00080E5D"/>
    <w:rsid w:val="00094686"/>
    <w:rsid w:val="000A77B4"/>
    <w:rsid w:val="000B609E"/>
    <w:rsid w:val="000D5939"/>
    <w:rsid w:val="000D66FA"/>
    <w:rsid w:val="000E000E"/>
    <w:rsid w:val="000E71E2"/>
    <w:rsid w:val="000E7889"/>
    <w:rsid w:val="000F3FCE"/>
    <w:rsid w:val="0010512B"/>
    <w:rsid w:val="00105431"/>
    <w:rsid w:val="00120502"/>
    <w:rsid w:val="00123648"/>
    <w:rsid w:val="00123F6A"/>
    <w:rsid w:val="00141DB8"/>
    <w:rsid w:val="0014501D"/>
    <w:rsid w:val="001503FB"/>
    <w:rsid w:val="0016134C"/>
    <w:rsid w:val="00162774"/>
    <w:rsid w:val="00166C1E"/>
    <w:rsid w:val="00177387"/>
    <w:rsid w:val="0018609A"/>
    <w:rsid w:val="001C1D3C"/>
    <w:rsid w:val="001D2DAD"/>
    <w:rsid w:val="001E7F56"/>
    <w:rsid w:val="0021367A"/>
    <w:rsid w:val="0021373B"/>
    <w:rsid w:val="002251A0"/>
    <w:rsid w:val="00233D3F"/>
    <w:rsid w:val="00245C58"/>
    <w:rsid w:val="00252536"/>
    <w:rsid w:val="00294D0D"/>
    <w:rsid w:val="00296995"/>
    <w:rsid w:val="002B0447"/>
    <w:rsid w:val="002C571A"/>
    <w:rsid w:val="002C625D"/>
    <w:rsid w:val="002C6C48"/>
    <w:rsid w:val="002D7C6B"/>
    <w:rsid w:val="0030108D"/>
    <w:rsid w:val="00307BC1"/>
    <w:rsid w:val="00312915"/>
    <w:rsid w:val="00324868"/>
    <w:rsid w:val="00344E22"/>
    <w:rsid w:val="00345EAC"/>
    <w:rsid w:val="0035536E"/>
    <w:rsid w:val="003622B0"/>
    <w:rsid w:val="00363716"/>
    <w:rsid w:val="00366FAF"/>
    <w:rsid w:val="00374E64"/>
    <w:rsid w:val="003810D3"/>
    <w:rsid w:val="003A6696"/>
    <w:rsid w:val="003B3373"/>
    <w:rsid w:val="00402526"/>
    <w:rsid w:val="004123B3"/>
    <w:rsid w:val="00414B65"/>
    <w:rsid w:val="004605DA"/>
    <w:rsid w:val="00461065"/>
    <w:rsid w:val="00465158"/>
    <w:rsid w:val="00465911"/>
    <w:rsid w:val="004679AF"/>
    <w:rsid w:val="004C6E27"/>
    <w:rsid w:val="004E4B41"/>
    <w:rsid w:val="0050049A"/>
    <w:rsid w:val="005032DE"/>
    <w:rsid w:val="005150B3"/>
    <w:rsid w:val="00515846"/>
    <w:rsid w:val="005426A7"/>
    <w:rsid w:val="0055712E"/>
    <w:rsid w:val="005645E4"/>
    <w:rsid w:val="00565871"/>
    <w:rsid w:val="005658CB"/>
    <w:rsid w:val="005752D2"/>
    <w:rsid w:val="00577302"/>
    <w:rsid w:val="0058039C"/>
    <w:rsid w:val="0059452D"/>
    <w:rsid w:val="005A27CF"/>
    <w:rsid w:val="005A5CA6"/>
    <w:rsid w:val="005B0323"/>
    <w:rsid w:val="005C25DE"/>
    <w:rsid w:val="005C4FDA"/>
    <w:rsid w:val="005D3D10"/>
    <w:rsid w:val="005D47DE"/>
    <w:rsid w:val="005D520E"/>
    <w:rsid w:val="0061196E"/>
    <w:rsid w:val="0061353A"/>
    <w:rsid w:val="00624B4A"/>
    <w:rsid w:val="0063670B"/>
    <w:rsid w:val="006748BE"/>
    <w:rsid w:val="00674E95"/>
    <w:rsid w:val="006875BA"/>
    <w:rsid w:val="006A3443"/>
    <w:rsid w:val="006B5D8C"/>
    <w:rsid w:val="006D2ACF"/>
    <w:rsid w:val="006D6BE6"/>
    <w:rsid w:val="006F0951"/>
    <w:rsid w:val="006F142F"/>
    <w:rsid w:val="00727A3F"/>
    <w:rsid w:val="00753BF1"/>
    <w:rsid w:val="007654DA"/>
    <w:rsid w:val="007660AE"/>
    <w:rsid w:val="0076613B"/>
    <w:rsid w:val="0077257D"/>
    <w:rsid w:val="007972B8"/>
    <w:rsid w:val="007A20D1"/>
    <w:rsid w:val="007A2CAB"/>
    <w:rsid w:val="007B5378"/>
    <w:rsid w:val="007B70FE"/>
    <w:rsid w:val="007C3542"/>
    <w:rsid w:val="007C3B54"/>
    <w:rsid w:val="007D35E3"/>
    <w:rsid w:val="007D776A"/>
    <w:rsid w:val="00816C18"/>
    <w:rsid w:val="00833CF1"/>
    <w:rsid w:val="0084585E"/>
    <w:rsid w:val="00846CE8"/>
    <w:rsid w:val="00853973"/>
    <w:rsid w:val="00870D1E"/>
    <w:rsid w:val="00875D84"/>
    <w:rsid w:val="00886291"/>
    <w:rsid w:val="008A70F5"/>
    <w:rsid w:val="008B5225"/>
    <w:rsid w:val="008F2CC1"/>
    <w:rsid w:val="008F4720"/>
    <w:rsid w:val="009149AB"/>
    <w:rsid w:val="0092151C"/>
    <w:rsid w:val="00932370"/>
    <w:rsid w:val="0093563A"/>
    <w:rsid w:val="00937885"/>
    <w:rsid w:val="00947545"/>
    <w:rsid w:val="00955715"/>
    <w:rsid w:val="00961424"/>
    <w:rsid w:val="00975FB3"/>
    <w:rsid w:val="00980AE5"/>
    <w:rsid w:val="00994E79"/>
    <w:rsid w:val="009A0607"/>
    <w:rsid w:val="009A527A"/>
    <w:rsid w:val="009B2484"/>
    <w:rsid w:val="009B6810"/>
    <w:rsid w:val="009B788A"/>
    <w:rsid w:val="009C4514"/>
    <w:rsid w:val="009D23B8"/>
    <w:rsid w:val="009D60D5"/>
    <w:rsid w:val="009E1498"/>
    <w:rsid w:val="009E61EF"/>
    <w:rsid w:val="00A01FBA"/>
    <w:rsid w:val="00A3232A"/>
    <w:rsid w:val="00A377FB"/>
    <w:rsid w:val="00A5545A"/>
    <w:rsid w:val="00A607F2"/>
    <w:rsid w:val="00A70CEE"/>
    <w:rsid w:val="00A73456"/>
    <w:rsid w:val="00A82F31"/>
    <w:rsid w:val="00A90739"/>
    <w:rsid w:val="00AA1BD7"/>
    <w:rsid w:val="00AD21E2"/>
    <w:rsid w:val="00AE1ACE"/>
    <w:rsid w:val="00AE75B8"/>
    <w:rsid w:val="00AF144D"/>
    <w:rsid w:val="00B00401"/>
    <w:rsid w:val="00B0244A"/>
    <w:rsid w:val="00B043C8"/>
    <w:rsid w:val="00B047B8"/>
    <w:rsid w:val="00B105F4"/>
    <w:rsid w:val="00B10CAF"/>
    <w:rsid w:val="00B15183"/>
    <w:rsid w:val="00B20876"/>
    <w:rsid w:val="00B20B82"/>
    <w:rsid w:val="00B21738"/>
    <w:rsid w:val="00B21C68"/>
    <w:rsid w:val="00B25D76"/>
    <w:rsid w:val="00B51B2F"/>
    <w:rsid w:val="00B56171"/>
    <w:rsid w:val="00B71CE3"/>
    <w:rsid w:val="00B81F11"/>
    <w:rsid w:val="00B85FB0"/>
    <w:rsid w:val="00B93864"/>
    <w:rsid w:val="00BA1D67"/>
    <w:rsid w:val="00BA48C6"/>
    <w:rsid w:val="00BB30F9"/>
    <w:rsid w:val="00BB322E"/>
    <w:rsid w:val="00BB578D"/>
    <w:rsid w:val="00BD5CF9"/>
    <w:rsid w:val="00BD6E73"/>
    <w:rsid w:val="00BD7531"/>
    <w:rsid w:val="00BE720C"/>
    <w:rsid w:val="00BE7E5A"/>
    <w:rsid w:val="00BF3292"/>
    <w:rsid w:val="00BF79D6"/>
    <w:rsid w:val="00C11C8D"/>
    <w:rsid w:val="00C50BB1"/>
    <w:rsid w:val="00C50D2C"/>
    <w:rsid w:val="00C5110A"/>
    <w:rsid w:val="00C57B5F"/>
    <w:rsid w:val="00C663ED"/>
    <w:rsid w:val="00C86A75"/>
    <w:rsid w:val="00C97498"/>
    <w:rsid w:val="00CA0780"/>
    <w:rsid w:val="00CA3389"/>
    <w:rsid w:val="00CA52F3"/>
    <w:rsid w:val="00CB2157"/>
    <w:rsid w:val="00CC5FE6"/>
    <w:rsid w:val="00CE7481"/>
    <w:rsid w:val="00D04895"/>
    <w:rsid w:val="00D10D69"/>
    <w:rsid w:val="00D11A8B"/>
    <w:rsid w:val="00D23634"/>
    <w:rsid w:val="00D23D89"/>
    <w:rsid w:val="00D30FA2"/>
    <w:rsid w:val="00D31175"/>
    <w:rsid w:val="00D36D4C"/>
    <w:rsid w:val="00D404A7"/>
    <w:rsid w:val="00D46092"/>
    <w:rsid w:val="00D5426F"/>
    <w:rsid w:val="00D61906"/>
    <w:rsid w:val="00D82C91"/>
    <w:rsid w:val="00D858E7"/>
    <w:rsid w:val="00D971EE"/>
    <w:rsid w:val="00DB68BF"/>
    <w:rsid w:val="00DD0C76"/>
    <w:rsid w:val="00DE72D3"/>
    <w:rsid w:val="00DF3739"/>
    <w:rsid w:val="00DF4F7E"/>
    <w:rsid w:val="00E00D0D"/>
    <w:rsid w:val="00E0464D"/>
    <w:rsid w:val="00E065BC"/>
    <w:rsid w:val="00E1384B"/>
    <w:rsid w:val="00E37493"/>
    <w:rsid w:val="00E46BCD"/>
    <w:rsid w:val="00E5186D"/>
    <w:rsid w:val="00E6229A"/>
    <w:rsid w:val="00E655D3"/>
    <w:rsid w:val="00E72DED"/>
    <w:rsid w:val="00E73F6C"/>
    <w:rsid w:val="00E7602D"/>
    <w:rsid w:val="00E826B5"/>
    <w:rsid w:val="00E86B7C"/>
    <w:rsid w:val="00EA792E"/>
    <w:rsid w:val="00EB421B"/>
    <w:rsid w:val="00EC04D8"/>
    <w:rsid w:val="00ED035F"/>
    <w:rsid w:val="00EE1EE6"/>
    <w:rsid w:val="00EE5684"/>
    <w:rsid w:val="00EF6FBB"/>
    <w:rsid w:val="00F1287F"/>
    <w:rsid w:val="00F46454"/>
    <w:rsid w:val="00F56DCE"/>
    <w:rsid w:val="00F75C18"/>
    <w:rsid w:val="00F91C19"/>
    <w:rsid w:val="00FA5A2E"/>
    <w:rsid w:val="00FB0C33"/>
    <w:rsid w:val="00FB30A8"/>
    <w:rsid w:val="00FB6EDB"/>
    <w:rsid w:val="00FC7E56"/>
    <w:rsid w:val="00FD6678"/>
    <w:rsid w:val="03B05489"/>
    <w:rsid w:val="03F05AD8"/>
    <w:rsid w:val="04372A45"/>
    <w:rsid w:val="0766667C"/>
    <w:rsid w:val="084905B4"/>
    <w:rsid w:val="09431756"/>
    <w:rsid w:val="0F850F80"/>
    <w:rsid w:val="109630E4"/>
    <w:rsid w:val="14365227"/>
    <w:rsid w:val="1C60752A"/>
    <w:rsid w:val="27F87493"/>
    <w:rsid w:val="285E06C4"/>
    <w:rsid w:val="28FA6D20"/>
    <w:rsid w:val="2B234C6D"/>
    <w:rsid w:val="2B396AC9"/>
    <w:rsid w:val="2CF256D8"/>
    <w:rsid w:val="2EA52CC3"/>
    <w:rsid w:val="30886301"/>
    <w:rsid w:val="30A94CD2"/>
    <w:rsid w:val="31612874"/>
    <w:rsid w:val="31DD6288"/>
    <w:rsid w:val="35616F5E"/>
    <w:rsid w:val="411A54CA"/>
    <w:rsid w:val="4EF53018"/>
    <w:rsid w:val="503228B3"/>
    <w:rsid w:val="549E4059"/>
    <w:rsid w:val="575A5550"/>
    <w:rsid w:val="5A231B42"/>
    <w:rsid w:val="66634540"/>
    <w:rsid w:val="69800422"/>
    <w:rsid w:val="69AA7B7C"/>
    <w:rsid w:val="6FD8589D"/>
    <w:rsid w:val="718500DB"/>
    <w:rsid w:val="71AB28D9"/>
    <w:rsid w:val="728F16BC"/>
    <w:rsid w:val="73372F7E"/>
    <w:rsid w:val="74D46577"/>
    <w:rsid w:val="7C910AFB"/>
    <w:rsid w:val="7CA24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 Char Char1 Char Char Char1 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MKXH-1</Company>
  <Pages>6</Pages>
  <Words>253</Words>
  <Characters>1443</Characters>
  <Lines>12</Lines>
  <Paragraphs>3</Paragraphs>
  <TotalTime>8</TotalTime>
  <ScaleCrop>false</ScaleCrop>
  <LinksUpToDate>false</LinksUpToDate>
  <CharactersWithSpaces>1693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2019-06-27T08:23:00Z</dcterms:created>
  <dc:creator>MKXH</dc:creator>
  <cp:lastModifiedBy>冰山雪雁</cp:lastModifiedBy>
  <cp:lastPrinted>2019-06-19T02:05:00Z</cp:lastPrinted>
  <dcterms:modified xsi:type="dcterms:W3CDTF">2020-09-08T06:15:28Z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